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266C1D96" w:rsidR="00436071" w:rsidRDefault="00452ACE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>VODITELJ/ICA RAČUNOVODSTVA</w:t>
      </w:r>
      <w:r w:rsidR="001C6AEA"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>20</w:t>
      </w:r>
      <w:r w:rsidR="00436071" w:rsidRPr="00410294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sat</w:t>
      </w:r>
      <w:r w:rsidR="003003FE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i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8F3AF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tjedno </w:t>
      </w:r>
      <w:r w:rsidR="007545A2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1 </w:t>
      </w:r>
      <w:r w:rsidR="00436071"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4D964EAD" w14:textId="75B3F293" w:rsidR="000C35DF" w:rsidRPr="00AA119C" w:rsidRDefault="000C35DF" w:rsidP="000C35DF">
      <w:pPr>
        <w:spacing w:after="0" w:line="240" w:lineRule="auto"/>
        <w:ind w:left="720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6D5EFF4F" w14:textId="77777777" w:rsidR="00900FA2" w:rsidRDefault="001C6AEA" w:rsidP="0043607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te 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0C25AF70" w14:textId="7AEBDCBF" w:rsidR="00900FA2" w:rsidRDefault="00900FA2" w:rsidP="0043607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Z</w:t>
      </w:r>
      <w:r w:rsidRPr="00900FA2">
        <w:rPr>
          <w:rFonts w:ascii="Palatino Linotype" w:eastAsia="Arial Unicode MS" w:hAnsi="Palatino Linotype" w:cs="Times New Roman"/>
          <w:sz w:val="24"/>
          <w:szCs w:val="24"/>
        </w:rPr>
        <w:t xml:space="preserve">avršen diplomski sveučilišni studij ekonomije odnosno specijalistički diplomski stručni studij ekonomije odnosno preddiplomski sveučilišni studij ekonomije ili </w:t>
      </w:r>
      <w:proofErr w:type="spellStart"/>
      <w:r w:rsidRPr="00900FA2">
        <w:rPr>
          <w:rFonts w:ascii="Palatino Linotype" w:eastAsia="Arial Unicode MS" w:hAnsi="Palatino Linotype" w:cs="Times New Roman"/>
          <w:sz w:val="24"/>
          <w:szCs w:val="24"/>
        </w:rPr>
        <w:t>prediplomski</w:t>
      </w:r>
      <w:proofErr w:type="spellEnd"/>
      <w:r w:rsidRPr="00900FA2">
        <w:rPr>
          <w:rFonts w:ascii="Palatino Linotype" w:eastAsia="Arial Unicode MS" w:hAnsi="Palatino Linotype" w:cs="Times New Roman"/>
          <w:sz w:val="24"/>
          <w:szCs w:val="24"/>
        </w:rPr>
        <w:t xml:space="preserve"> stručni studij ekonomije odnosno viša ili visoka stručna sprema ekonomske struke  stečena prema ranijim propisima.</w:t>
      </w:r>
    </w:p>
    <w:p w14:paraId="458092B5" w14:textId="77777777" w:rsidR="00900FA2" w:rsidRPr="00900FA2" w:rsidRDefault="00900FA2" w:rsidP="00900FA2">
      <w:pPr>
        <w:spacing w:after="0" w:line="240" w:lineRule="auto"/>
        <w:ind w:left="420"/>
        <w:jc w:val="both"/>
        <w:rPr>
          <w:rFonts w:ascii="Palatino Linotype" w:eastAsia="Arial Unicode MS" w:hAnsi="Palatino Linotype" w:cs="Times New Roman"/>
          <w:sz w:val="24"/>
          <w:szCs w:val="24"/>
        </w:rPr>
      </w:pPr>
    </w:p>
    <w:p w14:paraId="7AD58C26" w14:textId="10BF0B6B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lastRenderedPageBreak/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430456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zapošljavanju, sukladno čl. 48.f Zakona o zaštiti vojnih i civilnih invalida rata („Narodne novine“, br. 33/92, 57/92, 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</w:t>
      </w:r>
      <w:proofErr w:type="spellStart"/>
      <w:r w:rsidRPr="00753D9C">
        <w:rPr>
          <w:rFonts w:ascii="Palatino Linotype" w:hAnsi="Palatino Linotype" w:cs="Times New Roman"/>
          <w:sz w:val="24"/>
          <w:szCs w:val="24"/>
        </w:rPr>
        <w:t>kinja</w:t>
      </w:r>
      <w:proofErr w:type="spellEnd"/>
      <w:r w:rsidRPr="00753D9C">
        <w:rPr>
          <w:rFonts w:ascii="Palatino Linotype" w:hAnsi="Palatino Linotype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002665FD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410294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7873C98B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410294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3B218FD7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452ACE">
        <w:rPr>
          <w:rFonts w:ascii="Palatino Linotype" w:hAnsi="Palatino Linotype" w:cs="Times New Roman"/>
          <w:sz w:val="24"/>
          <w:szCs w:val="24"/>
        </w:rPr>
        <w:t>4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3DFF6502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410294">
        <w:rPr>
          <w:rFonts w:ascii="Palatino Linotype" w:hAnsi="Palatino Linotype" w:cs="Times New Roman"/>
          <w:sz w:val="24"/>
          <w:szCs w:val="24"/>
        </w:rPr>
        <w:t>5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9D2CCC">
        <w:rPr>
          <w:rFonts w:ascii="Palatino Linotype" w:hAnsi="Palatino Linotype" w:cs="Times New Roman"/>
          <w:sz w:val="24"/>
          <w:szCs w:val="24"/>
        </w:rPr>
        <w:t>ožujka</w:t>
      </w:r>
      <w:r w:rsidR="00EF76A4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72D5" w14:textId="77777777" w:rsidR="00430456" w:rsidRDefault="00430456" w:rsidP="00052737">
      <w:pPr>
        <w:spacing w:after="0" w:line="240" w:lineRule="auto"/>
      </w:pPr>
      <w:r>
        <w:separator/>
      </w:r>
    </w:p>
  </w:endnote>
  <w:endnote w:type="continuationSeparator" w:id="0">
    <w:p w14:paraId="23EE6F4C" w14:textId="77777777" w:rsidR="00430456" w:rsidRDefault="00430456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7468" w14:textId="77777777" w:rsidR="00430456" w:rsidRDefault="00430456" w:rsidP="00052737">
      <w:pPr>
        <w:spacing w:after="0" w:line="240" w:lineRule="auto"/>
      </w:pPr>
      <w:r>
        <w:separator/>
      </w:r>
    </w:p>
  </w:footnote>
  <w:footnote w:type="continuationSeparator" w:id="0">
    <w:p w14:paraId="3941A2AE" w14:textId="77777777" w:rsidR="00430456" w:rsidRDefault="00430456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C35DF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C6AEA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7F00"/>
    <w:rsid w:val="00410294"/>
    <w:rsid w:val="00424025"/>
    <w:rsid w:val="00430456"/>
    <w:rsid w:val="00430498"/>
    <w:rsid w:val="00436071"/>
    <w:rsid w:val="00452ACE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634A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D42D7"/>
    <w:rsid w:val="007F475B"/>
    <w:rsid w:val="008248F8"/>
    <w:rsid w:val="0089718B"/>
    <w:rsid w:val="008F3AF4"/>
    <w:rsid w:val="00900FA2"/>
    <w:rsid w:val="00902B5D"/>
    <w:rsid w:val="0095096E"/>
    <w:rsid w:val="009901B3"/>
    <w:rsid w:val="009905F2"/>
    <w:rsid w:val="009C55E0"/>
    <w:rsid w:val="009D2CCC"/>
    <w:rsid w:val="009E1CF1"/>
    <w:rsid w:val="00A054CD"/>
    <w:rsid w:val="00A1157F"/>
    <w:rsid w:val="00A23812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90464"/>
    <w:rsid w:val="00D9251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4</cp:revision>
  <cp:lastPrinted>2024-09-25T08:32:00Z</cp:lastPrinted>
  <dcterms:created xsi:type="dcterms:W3CDTF">2025-03-04T09:38:00Z</dcterms:created>
  <dcterms:modified xsi:type="dcterms:W3CDTF">2025-03-05T08:40:00Z</dcterms:modified>
</cp:coreProperties>
</file>